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0CE" w:rsidRPr="00C92F6F" w:rsidRDefault="001D4C0C" w:rsidP="00E610CE">
      <w:pPr>
        <w:pStyle w:val="Default"/>
        <w:rPr>
          <w:szCs w:val="23"/>
          <w:lang w:val="en-US"/>
        </w:rPr>
      </w:pPr>
      <w:r w:rsidRPr="001D4C0C">
        <w:rPr>
          <w:b/>
          <w:szCs w:val="22"/>
          <w:lang w:val="en-US"/>
        </w:rPr>
        <w:t>Drug t</w:t>
      </w:r>
      <w:r w:rsidRPr="001D4C0C">
        <w:rPr>
          <w:b/>
          <w:szCs w:val="22"/>
          <w:lang w:val="en-US"/>
        </w:rPr>
        <w:t>herap</w:t>
      </w:r>
      <w:r w:rsidRPr="001D4C0C">
        <w:rPr>
          <w:b/>
          <w:szCs w:val="22"/>
          <w:lang w:val="en-US"/>
        </w:rPr>
        <w:t>y</w:t>
      </w:r>
      <w:r w:rsidRPr="001D4C0C">
        <w:rPr>
          <w:b/>
          <w:szCs w:val="22"/>
          <w:lang w:val="en-US"/>
        </w:rPr>
        <w:t xml:space="preserve"> for </w:t>
      </w:r>
      <w:r w:rsidRPr="001D4C0C">
        <w:rPr>
          <w:b/>
          <w:szCs w:val="22"/>
          <w:lang w:val="en-US"/>
        </w:rPr>
        <w:t>r</w:t>
      </w:r>
      <w:r w:rsidRPr="001D4C0C">
        <w:rPr>
          <w:b/>
          <w:szCs w:val="22"/>
          <w:lang w:val="en-US"/>
        </w:rPr>
        <w:t xml:space="preserve">etinal </w:t>
      </w:r>
      <w:r w:rsidRPr="001D4C0C">
        <w:rPr>
          <w:b/>
          <w:szCs w:val="22"/>
          <w:lang w:val="en-US"/>
        </w:rPr>
        <w:t>d</w:t>
      </w:r>
      <w:r w:rsidRPr="001D4C0C">
        <w:rPr>
          <w:b/>
          <w:szCs w:val="22"/>
          <w:lang w:val="en-US"/>
        </w:rPr>
        <w:t>ystrophies</w:t>
      </w:r>
      <w:r w:rsidR="00E610CE" w:rsidRPr="001D4C0C">
        <w:rPr>
          <w:sz w:val="28"/>
          <w:szCs w:val="23"/>
          <w:lang w:val="en-US"/>
        </w:rPr>
        <w:t xml:space="preserve"> </w:t>
      </w:r>
      <w:r w:rsidR="00E610CE">
        <w:rPr>
          <w:szCs w:val="23"/>
          <w:lang w:val="en-US"/>
        </w:rPr>
        <w:tab/>
      </w:r>
      <w:r w:rsidR="00E610CE">
        <w:rPr>
          <w:szCs w:val="23"/>
          <w:lang w:val="en-US"/>
        </w:rPr>
        <w:tab/>
      </w:r>
    </w:p>
    <w:p w:rsidR="00E610CE" w:rsidRPr="00042943" w:rsidRDefault="00E610CE" w:rsidP="00E610CE">
      <w:pPr>
        <w:pStyle w:val="Default"/>
        <w:rPr>
          <w:b/>
          <w:szCs w:val="23"/>
          <w:lang w:val="en-US"/>
        </w:rPr>
      </w:pPr>
    </w:p>
    <w:p w:rsidR="00E610CE" w:rsidRPr="00042943" w:rsidRDefault="00E610CE" w:rsidP="00E610CE">
      <w:pPr>
        <w:pStyle w:val="Default"/>
        <w:rPr>
          <w:b/>
          <w:szCs w:val="23"/>
          <w:lang w:val="en-US"/>
        </w:rPr>
      </w:pPr>
    </w:p>
    <w:p w:rsidR="00E610CE" w:rsidRPr="00042943" w:rsidRDefault="00E610CE" w:rsidP="00E610CE">
      <w:pPr>
        <w:pStyle w:val="Default"/>
        <w:rPr>
          <w:b/>
          <w:szCs w:val="23"/>
          <w:lang w:val="en-US"/>
        </w:rPr>
      </w:pPr>
    </w:p>
    <w:p w:rsidR="00E610CE" w:rsidRPr="00042943" w:rsidRDefault="00E610CE" w:rsidP="00E610CE">
      <w:pPr>
        <w:pStyle w:val="Default"/>
        <w:rPr>
          <w:b/>
          <w:szCs w:val="23"/>
          <w:lang w:val="en-US"/>
        </w:rPr>
      </w:pPr>
    </w:p>
    <w:p w:rsidR="001D4C0C" w:rsidRDefault="001D4C0C" w:rsidP="001D4C0C">
      <w:pPr>
        <w:pStyle w:val="Default"/>
        <w:jc w:val="right"/>
        <w:rPr>
          <w:b/>
          <w:szCs w:val="23"/>
          <w:lang w:val="en-US"/>
        </w:rPr>
      </w:pPr>
      <w:r w:rsidRPr="006A4CB2">
        <w:rPr>
          <w:b/>
          <w:szCs w:val="23"/>
          <w:lang w:val="en-US"/>
        </w:rPr>
        <w:lastRenderedPageBreak/>
        <w:t>P</w:t>
      </w:r>
      <w:r>
        <w:rPr>
          <w:b/>
          <w:szCs w:val="23"/>
          <w:lang w:val="en-US"/>
        </w:rPr>
        <w:t xml:space="preserve">rof. Dr. Robert </w:t>
      </w:r>
      <w:proofErr w:type="spellStart"/>
      <w:r>
        <w:rPr>
          <w:b/>
          <w:szCs w:val="23"/>
          <w:lang w:val="en-US"/>
        </w:rPr>
        <w:t>Karel</w:t>
      </w:r>
      <w:proofErr w:type="spellEnd"/>
      <w:r>
        <w:rPr>
          <w:b/>
          <w:szCs w:val="23"/>
          <w:lang w:val="en-US"/>
        </w:rPr>
        <w:t xml:space="preserve"> </w:t>
      </w:r>
      <w:proofErr w:type="spellStart"/>
      <w:r>
        <w:rPr>
          <w:b/>
          <w:szCs w:val="23"/>
          <w:lang w:val="en-US"/>
        </w:rPr>
        <w:t>Koenekoop</w:t>
      </w:r>
      <w:proofErr w:type="spellEnd"/>
    </w:p>
    <w:p w:rsidR="001D4C0C" w:rsidRDefault="001D4C0C" w:rsidP="001D4C0C">
      <w:pPr>
        <w:pStyle w:val="Default"/>
        <w:jc w:val="right"/>
        <w:rPr>
          <w:szCs w:val="23"/>
          <w:lang w:val="en-US"/>
        </w:rPr>
      </w:pPr>
      <w:r>
        <w:rPr>
          <w:szCs w:val="23"/>
          <w:lang w:val="en-US"/>
        </w:rPr>
        <w:t>McGill Ocular Genetics Center</w:t>
      </w:r>
    </w:p>
    <w:p w:rsidR="001D4C0C" w:rsidRPr="006A4CB2" w:rsidRDefault="001D4C0C" w:rsidP="001D4C0C">
      <w:pPr>
        <w:pStyle w:val="Default"/>
        <w:jc w:val="right"/>
        <w:rPr>
          <w:b/>
          <w:szCs w:val="23"/>
          <w:lang w:val="en-US"/>
        </w:rPr>
      </w:pPr>
      <w:r w:rsidRPr="006A4CB2">
        <w:rPr>
          <w:szCs w:val="23"/>
          <w:lang w:val="en-US"/>
        </w:rPr>
        <w:t>Ophthalmology</w:t>
      </w:r>
    </w:p>
    <w:p w:rsidR="00E610CE" w:rsidRPr="001D4C0C" w:rsidRDefault="001D4C0C" w:rsidP="001D4C0C">
      <w:pPr>
        <w:pStyle w:val="Default"/>
        <w:jc w:val="right"/>
        <w:rPr>
          <w:b/>
          <w:szCs w:val="23"/>
          <w:lang w:val="en-US"/>
        </w:rPr>
      </w:pPr>
      <w:r w:rsidRPr="006A4CB2">
        <w:rPr>
          <w:szCs w:val="23"/>
          <w:lang w:val="en-US"/>
        </w:rPr>
        <w:t>Montreal, Canada</w:t>
      </w:r>
    </w:p>
    <w:p w:rsidR="00E610CE" w:rsidRPr="001D4C0C" w:rsidRDefault="00E610CE" w:rsidP="00E610CE">
      <w:pPr>
        <w:pStyle w:val="Default"/>
        <w:rPr>
          <w:b/>
          <w:szCs w:val="23"/>
          <w:lang w:val="en-US"/>
        </w:rPr>
      </w:pPr>
    </w:p>
    <w:p w:rsidR="00E610CE" w:rsidRPr="001D4C0C" w:rsidRDefault="00E610CE" w:rsidP="00E610CE">
      <w:pPr>
        <w:pStyle w:val="Default"/>
        <w:rPr>
          <w:b/>
          <w:szCs w:val="23"/>
          <w:lang w:val="en-US"/>
        </w:rPr>
        <w:sectPr w:rsidR="00E610CE" w:rsidRPr="001D4C0C" w:rsidSect="00C92F6F">
          <w:pgSz w:w="11907" w:h="16840" w:code="9"/>
          <w:pgMar w:top="1134" w:right="1134" w:bottom="1134" w:left="1134" w:header="709" w:footer="709" w:gutter="0"/>
          <w:cols w:num="2" w:space="708"/>
          <w:docGrid w:linePitch="360"/>
        </w:sectPr>
      </w:pPr>
    </w:p>
    <w:p w:rsidR="00E610CE" w:rsidRPr="001D4C0C" w:rsidRDefault="00E610CE" w:rsidP="00E610CE">
      <w:pPr>
        <w:pStyle w:val="Default"/>
        <w:rPr>
          <w:b/>
          <w:szCs w:val="23"/>
          <w:lang w:val="en-US"/>
        </w:rPr>
      </w:pPr>
    </w:p>
    <w:p w:rsidR="00E610CE" w:rsidRPr="001D4C0C" w:rsidRDefault="00E610CE" w:rsidP="00E610CE">
      <w:pPr>
        <w:pStyle w:val="Default"/>
        <w:rPr>
          <w:b/>
          <w:szCs w:val="23"/>
          <w:lang w:val="en-US"/>
        </w:rPr>
      </w:pPr>
    </w:p>
    <w:p w:rsidR="001D4C0C" w:rsidRDefault="001D4C0C" w:rsidP="001D4C0C">
      <w:pPr>
        <w:jc w:val="both"/>
        <w:rPr>
          <w:rFonts w:ascii="Arial" w:hAnsi="Arial" w:cs="Arial"/>
          <w:sz w:val="24"/>
          <w:szCs w:val="23"/>
          <w:lang w:val="en-US"/>
        </w:rPr>
      </w:pPr>
      <w:r w:rsidRPr="001D4C0C">
        <w:rPr>
          <w:rFonts w:ascii="Arial" w:hAnsi="Arial" w:cs="Arial"/>
          <w:b/>
          <w:sz w:val="24"/>
          <w:szCs w:val="23"/>
          <w:u w:val="single"/>
          <w:lang w:val="en-US"/>
        </w:rPr>
        <w:t>Purpose:</w:t>
      </w:r>
      <w:r w:rsidRPr="001D4C0C">
        <w:rPr>
          <w:rFonts w:ascii="Arial" w:hAnsi="Arial" w:cs="Arial"/>
          <w:sz w:val="24"/>
          <w:szCs w:val="23"/>
          <w:lang w:val="en-US"/>
        </w:rPr>
        <w:t xml:space="preserve"> Oral synthetic 9-cis-retinoid (QLT091001) may be effective in bypassing the enzymatic blockade in the visual (retinoid) cycle in various forms of retinal dystrophies and blindness due to mutations in LRAT or RPE65 genes. These mutations cause an absence of the light-sensing </w:t>
      </w:r>
      <w:proofErr w:type="spellStart"/>
      <w:r w:rsidRPr="001D4C0C">
        <w:rPr>
          <w:rFonts w:ascii="Arial" w:hAnsi="Arial" w:cs="Arial"/>
          <w:sz w:val="24"/>
          <w:szCs w:val="23"/>
          <w:lang w:val="en-US"/>
        </w:rPr>
        <w:t>chromophore</w:t>
      </w:r>
      <w:proofErr w:type="spellEnd"/>
      <w:r w:rsidRPr="001D4C0C">
        <w:rPr>
          <w:rFonts w:ascii="Arial" w:hAnsi="Arial" w:cs="Arial"/>
          <w:sz w:val="24"/>
          <w:szCs w:val="23"/>
          <w:lang w:val="en-US"/>
        </w:rPr>
        <w:t xml:space="preserve"> 11-cis-retinal. No drug treatments for these retinal dystrophies currently exist. Drug development approaches have been limited due to the very small number of patients, the genetic heterogeneity of subjects, the lack of longitudinal studies, and difficulties in testing low vision subjects for endpoints accepted as clinically meaningful. QLT Inc. is currently conducting Phase </w:t>
      </w:r>
      <w:proofErr w:type="spellStart"/>
      <w:r w:rsidRPr="001D4C0C">
        <w:rPr>
          <w:rFonts w:ascii="Arial" w:hAnsi="Arial" w:cs="Arial"/>
          <w:sz w:val="24"/>
          <w:szCs w:val="23"/>
          <w:lang w:val="en-US"/>
        </w:rPr>
        <w:t>Ib</w:t>
      </w:r>
      <w:proofErr w:type="spellEnd"/>
      <w:r w:rsidRPr="001D4C0C">
        <w:rPr>
          <w:rFonts w:ascii="Arial" w:hAnsi="Arial" w:cs="Arial"/>
          <w:sz w:val="24"/>
          <w:szCs w:val="23"/>
          <w:lang w:val="en-US"/>
        </w:rPr>
        <w:t xml:space="preserve"> proof-of-concept studies to assess whether QLT091001 can improve visual function parameters in subjects with these disorders. </w:t>
      </w:r>
    </w:p>
    <w:p w:rsidR="001D4C0C" w:rsidRDefault="001D4C0C" w:rsidP="001D4C0C">
      <w:pPr>
        <w:jc w:val="both"/>
        <w:rPr>
          <w:rFonts w:ascii="Arial" w:hAnsi="Arial" w:cs="Arial"/>
          <w:sz w:val="24"/>
          <w:szCs w:val="23"/>
          <w:lang w:val="en-US"/>
        </w:rPr>
      </w:pPr>
    </w:p>
    <w:p w:rsidR="001D4C0C" w:rsidRDefault="001D4C0C" w:rsidP="001D4C0C">
      <w:pPr>
        <w:jc w:val="both"/>
        <w:rPr>
          <w:rFonts w:ascii="Arial" w:hAnsi="Arial" w:cs="Arial"/>
          <w:sz w:val="24"/>
          <w:szCs w:val="23"/>
          <w:lang w:val="en-US"/>
        </w:rPr>
      </w:pPr>
      <w:r w:rsidRPr="001D4C0C">
        <w:rPr>
          <w:rFonts w:ascii="Arial" w:hAnsi="Arial" w:cs="Arial"/>
          <w:b/>
          <w:sz w:val="24"/>
          <w:szCs w:val="23"/>
          <w:u w:val="single"/>
          <w:lang w:val="en-US"/>
        </w:rPr>
        <w:t>Methods:</w:t>
      </w:r>
      <w:r w:rsidRPr="001D4C0C">
        <w:rPr>
          <w:rFonts w:ascii="Arial" w:hAnsi="Arial" w:cs="Arial"/>
          <w:sz w:val="24"/>
          <w:szCs w:val="23"/>
          <w:lang w:val="en-US"/>
        </w:rPr>
        <w:t xml:space="preserve"> QLT091001 has been assessed in two phase </w:t>
      </w:r>
      <w:proofErr w:type="spellStart"/>
      <w:proofErr w:type="gramStart"/>
      <w:r w:rsidRPr="001D4C0C">
        <w:rPr>
          <w:rFonts w:ascii="Arial" w:hAnsi="Arial" w:cs="Arial"/>
          <w:sz w:val="24"/>
          <w:szCs w:val="23"/>
          <w:lang w:val="en-US"/>
        </w:rPr>
        <w:t>Ib</w:t>
      </w:r>
      <w:proofErr w:type="spellEnd"/>
      <w:proofErr w:type="gramEnd"/>
      <w:r w:rsidRPr="001D4C0C">
        <w:rPr>
          <w:rFonts w:ascii="Arial" w:hAnsi="Arial" w:cs="Arial"/>
          <w:sz w:val="24"/>
          <w:szCs w:val="23"/>
          <w:lang w:val="en-US"/>
        </w:rPr>
        <w:t xml:space="preserve"> open-label, proof-of-concept clinical studies to date comprising three groups of subjects: (i) LCA (1 center, Montreal, 14 subjects), (ii) early-onset RP (7 international centers, 17 subjects), and (iii) a dominant form of RP, with a heterozygous RPE65 mutation (1 center, Montreal, 1 subject). In the first stage of testing, all 3 studies have evaluated a single 7-day course of 10 or 40 mg/m2/day of QLT091001. Subjects with LCA and RP are currently enrolled in a retreatment protocol to evaluate additional courses of dosing. Data from the LCA study, the first subject cohort, are presented at this meeting. Primary visual function tests were ETDRS best-corrected visual acuity (BCVA) and </w:t>
      </w:r>
      <w:proofErr w:type="spellStart"/>
      <w:r w:rsidRPr="001D4C0C">
        <w:rPr>
          <w:rFonts w:ascii="Arial" w:hAnsi="Arial" w:cs="Arial"/>
          <w:sz w:val="24"/>
          <w:szCs w:val="23"/>
          <w:lang w:val="en-US"/>
        </w:rPr>
        <w:t>Goldmann</w:t>
      </w:r>
      <w:proofErr w:type="spellEnd"/>
      <w:r w:rsidRPr="001D4C0C">
        <w:rPr>
          <w:rFonts w:ascii="Arial" w:hAnsi="Arial" w:cs="Arial"/>
          <w:sz w:val="24"/>
          <w:szCs w:val="23"/>
          <w:lang w:val="en-US"/>
        </w:rPr>
        <w:t xml:space="preserve"> visual field (GVF). Both endpoints provide an assessment of clinically meaningful benefit. Additional tests in a small subset of subjects included functional magnetic resonance imaging (fMRI), OCT, ERG and fundus </w:t>
      </w:r>
      <w:proofErr w:type="spellStart"/>
      <w:r w:rsidRPr="001D4C0C">
        <w:rPr>
          <w:rFonts w:ascii="Arial" w:hAnsi="Arial" w:cs="Arial"/>
          <w:sz w:val="24"/>
          <w:szCs w:val="23"/>
          <w:lang w:val="en-US"/>
        </w:rPr>
        <w:t>autofluorescence</w:t>
      </w:r>
      <w:proofErr w:type="spellEnd"/>
      <w:r w:rsidRPr="001D4C0C">
        <w:rPr>
          <w:rFonts w:ascii="Arial" w:hAnsi="Arial" w:cs="Arial"/>
          <w:sz w:val="24"/>
          <w:szCs w:val="23"/>
          <w:lang w:val="en-US"/>
        </w:rPr>
        <w:t xml:space="preserve">. Complete ophthalmic and physical examinations, electrocardiograms and clinical chemistry tests were measured for safety. Subjective activities of daily living (ADLs) were assessed by patient’s self-reports. RPE65 and LRAT mutations were identified by Sanger </w:t>
      </w:r>
      <w:proofErr w:type="gramStart"/>
      <w:r w:rsidRPr="001D4C0C">
        <w:rPr>
          <w:rFonts w:ascii="Arial" w:hAnsi="Arial" w:cs="Arial"/>
          <w:sz w:val="24"/>
          <w:szCs w:val="23"/>
          <w:lang w:val="en-US"/>
        </w:rPr>
        <w:t>sequencing,</w:t>
      </w:r>
      <w:proofErr w:type="gramEnd"/>
      <w:r w:rsidRPr="001D4C0C">
        <w:rPr>
          <w:rFonts w:ascii="Arial" w:hAnsi="Arial" w:cs="Arial"/>
          <w:sz w:val="24"/>
          <w:szCs w:val="23"/>
          <w:lang w:val="en-US"/>
        </w:rPr>
        <w:t xml:space="preserve"> verified by in </w:t>
      </w:r>
      <w:proofErr w:type="spellStart"/>
      <w:r w:rsidRPr="001D4C0C">
        <w:rPr>
          <w:rFonts w:ascii="Arial" w:hAnsi="Arial" w:cs="Arial"/>
          <w:sz w:val="24"/>
          <w:szCs w:val="23"/>
          <w:lang w:val="en-US"/>
        </w:rPr>
        <w:t>silico</w:t>
      </w:r>
      <w:proofErr w:type="spellEnd"/>
      <w:r w:rsidRPr="001D4C0C">
        <w:rPr>
          <w:rFonts w:ascii="Arial" w:hAnsi="Arial" w:cs="Arial"/>
          <w:sz w:val="24"/>
          <w:szCs w:val="23"/>
          <w:lang w:val="en-US"/>
        </w:rPr>
        <w:t xml:space="preserve"> analyses and confirmed by a CLIA certified lab. </w:t>
      </w:r>
    </w:p>
    <w:p w:rsidR="001D4C0C" w:rsidRDefault="001D4C0C" w:rsidP="001D4C0C">
      <w:pPr>
        <w:jc w:val="both"/>
        <w:rPr>
          <w:rFonts w:ascii="Arial" w:hAnsi="Arial" w:cs="Arial"/>
          <w:sz w:val="24"/>
          <w:szCs w:val="23"/>
          <w:lang w:val="en-US"/>
        </w:rPr>
      </w:pPr>
    </w:p>
    <w:p w:rsidR="001D4C0C" w:rsidRDefault="001D4C0C" w:rsidP="001D4C0C">
      <w:pPr>
        <w:jc w:val="both"/>
        <w:rPr>
          <w:rFonts w:ascii="Arial" w:hAnsi="Arial" w:cs="Arial"/>
          <w:sz w:val="24"/>
          <w:szCs w:val="23"/>
          <w:lang w:val="en-US"/>
        </w:rPr>
      </w:pPr>
      <w:r w:rsidRPr="001D4C0C">
        <w:rPr>
          <w:rFonts w:ascii="Arial" w:hAnsi="Arial" w:cs="Arial"/>
          <w:b/>
          <w:sz w:val="24"/>
          <w:szCs w:val="23"/>
          <w:u w:val="single"/>
          <w:lang w:val="en-US"/>
        </w:rPr>
        <w:t>Results:</w:t>
      </w:r>
      <w:r w:rsidRPr="001D4C0C">
        <w:rPr>
          <w:rFonts w:ascii="Arial" w:hAnsi="Arial" w:cs="Arial"/>
          <w:sz w:val="24"/>
          <w:szCs w:val="23"/>
          <w:lang w:val="en-US"/>
        </w:rPr>
        <w:t xml:space="preserve"> A total of 14 subjects (ages 6-38 years, 64% of subjects &lt;18 years) with LCA were tested. Of these subjects, 10/14 (71%) had improved GVF areas and 6/14 (43%) had improved BCVA. The median magnitude of improvement in GVF size across the GVF responding eyes was 114% (retinal area </w:t>
      </w:r>
      <w:proofErr w:type="spellStart"/>
      <w:r w:rsidRPr="001D4C0C">
        <w:rPr>
          <w:rFonts w:ascii="Arial" w:hAnsi="Arial" w:cs="Arial"/>
          <w:sz w:val="24"/>
          <w:szCs w:val="23"/>
          <w:lang w:val="en-US"/>
        </w:rPr>
        <w:t>vs</w:t>
      </w:r>
      <w:proofErr w:type="spellEnd"/>
      <w:r w:rsidRPr="001D4C0C">
        <w:rPr>
          <w:rFonts w:ascii="Arial" w:hAnsi="Arial" w:cs="Arial"/>
          <w:sz w:val="24"/>
          <w:szCs w:val="23"/>
          <w:lang w:val="en-US"/>
        </w:rPr>
        <w:t xml:space="preserve"> baseline). Functional MRI studies revealed several areas of visual and parietal cerebral cortical activation after treatment. Some subjects reported meaningful improvements in activities of daily living (ADLs), such as improved mobility, increased night vision and ability to navigate without their canes. No changes in ERG were reported. There were no serious adverse events. Transient headache and photophobia were reported during the course of the treatment period. Reversible and mild elevations in triglyceride levels and reductions in HDL were recorded. </w:t>
      </w:r>
    </w:p>
    <w:p w:rsidR="001D4C0C" w:rsidRDefault="001D4C0C" w:rsidP="001D4C0C">
      <w:pPr>
        <w:jc w:val="both"/>
        <w:rPr>
          <w:rFonts w:ascii="Arial" w:hAnsi="Arial" w:cs="Arial"/>
          <w:sz w:val="24"/>
          <w:szCs w:val="23"/>
          <w:lang w:val="en-US"/>
        </w:rPr>
      </w:pPr>
    </w:p>
    <w:p w:rsidR="001D4C0C" w:rsidRDefault="001D4C0C" w:rsidP="001D4C0C">
      <w:pPr>
        <w:jc w:val="both"/>
        <w:rPr>
          <w:rFonts w:ascii="Arial" w:hAnsi="Arial" w:cs="Arial"/>
          <w:sz w:val="24"/>
          <w:szCs w:val="23"/>
          <w:lang w:val="en-US"/>
        </w:rPr>
      </w:pPr>
      <w:r w:rsidRPr="001D4C0C">
        <w:rPr>
          <w:rFonts w:ascii="Arial" w:hAnsi="Arial" w:cs="Arial"/>
          <w:b/>
          <w:sz w:val="24"/>
          <w:szCs w:val="23"/>
          <w:u w:val="single"/>
          <w:lang w:val="en-US"/>
        </w:rPr>
        <w:t>Conclusions:</w:t>
      </w:r>
      <w:r w:rsidRPr="001D4C0C">
        <w:rPr>
          <w:rFonts w:ascii="Arial" w:hAnsi="Arial" w:cs="Arial"/>
          <w:sz w:val="24"/>
          <w:szCs w:val="23"/>
          <w:lang w:val="en-US"/>
        </w:rPr>
        <w:t xml:space="preserve"> Subjects with mutations in LRAT or RPE65 show a rapid and significant improvement in visual function after only a short course of QLT091001. These data support the hypothesis that QLT091001 bypasses the biochemical blockade of the visual cycle in all retinal areas with viable photoreceptors and RPE in both eyes at the same time. Dormant photoreceptors and plasticity of the human visual cortex endure despite life-</w:t>
      </w:r>
      <w:r w:rsidRPr="001D4C0C">
        <w:rPr>
          <w:rFonts w:ascii="Arial" w:hAnsi="Arial" w:cs="Arial"/>
          <w:sz w:val="24"/>
          <w:szCs w:val="23"/>
          <w:lang w:val="en-US"/>
        </w:rPr>
        <w:lastRenderedPageBreak/>
        <w:t>long visual impairment. Improvements in BCVA and GVF suggest that clinically meaningful improvements in visual function parameters occur and can be measured in this low vision population. Analysis of retreatment data is ongoing. Plans are underway for a placebo-controlled trial.</w:t>
      </w:r>
    </w:p>
    <w:p w:rsidR="00526012" w:rsidRPr="00E610CE" w:rsidRDefault="001D4C0C" w:rsidP="001D4C0C">
      <w:pPr>
        <w:jc w:val="both"/>
        <w:rPr>
          <w:lang w:val="en-US"/>
        </w:rPr>
      </w:pPr>
      <w:r w:rsidRPr="001D4C0C">
        <w:rPr>
          <w:rFonts w:ascii="Arial" w:hAnsi="Arial" w:cs="Arial"/>
          <w:b/>
          <w:sz w:val="24"/>
          <w:szCs w:val="23"/>
          <w:lang w:val="en-US"/>
        </w:rPr>
        <w:t>Clinical Trial:</w:t>
      </w:r>
      <w:r w:rsidRPr="001D4C0C">
        <w:rPr>
          <w:rFonts w:ascii="Arial" w:hAnsi="Arial" w:cs="Arial"/>
          <w:sz w:val="24"/>
          <w:szCs w:val="23"/>
          <w:lang w:val="en-US"/>
        </w:rPr>
        <w:t xml:space="preserve"> ClinicalTrials.gov: NCT01014052. </w:t>
      </w:r>
      <w:r w:rsidRPr="001D4C0C">
        <w:rPr>
          <w:rFonts w:ascii="Arial" w:hAnsi="Arial" w:cs="Arial"/>
          <w:b/>
          <w:sz w:val="24"/>
          <w:szCs w:val="23"/>
          <w:lang w:val="en-US"/>
        </w:rPr>
        <w:t>CR:</w:t>
      </w:r>
      <w:r w:rsidRPr="001D4C0C">
        <w:rPr>
          <w:rFonts w:ascii="Arial" w:hAnsi="Arial" w:cs="Arial"/>
          <w:sz w:val="24"/>
          <w:szCs w:val="23"/>
          <w:lang w:val="en-US"/>
        </w:rPr>
        <w:t xml:space="preserve"> QLT Inc. </w:t>
      </w:r>
      <w:bookmarkStart w:id="0" w:name="_GoBack"/>
      <w:r w:rsidRPr="001D4C0C">
        <w:rPr>
          <w:rFonts w:ascii="Arial" w:hAnsi="Arial" w:cs="Arial"/>
          <w:b/>
          <w:sz w:val="24"/>
          <w:szCs w:val="23"/>
          <w:lang w:val="en-US"/>
        </w:rPr>
        <w:t xml:space="preserve">Grants: </w:t>
      </w:r>
      <w:bookmarkEnd w:id="0"/>
      <w:r w:rsidRPr="001D4C0C">
        <w:rPr>
          <w:rFonts w:ascii="Arial" w:hAnsi="Arial" w:cs="Arial"/>
          <w:sz w:val="24"/>
          <w:szCs w:val="23"/>
          <w:lang w:val="en-US"/>
        </w:rPr>
        <w:t xml:space="preserve">FFB-C, CIHR, NIH (RKK). </w:t>
      </w:r>
      <w:r w:rsidRPr="001D4C0C">
        <w:rPr>
          <w:rFonts w:ascii="Arial" w:hAnsi="Arial" w:cs="Arial"/>
          <w:b/>
          <w:sz w:val="24"/>
          <w:szCs w:val="23"/>
          <w:lang w:val="en-US"/>
        </w:rPr>
        <w:t>Co-authors:</w:t>
      </w:r>
      <w:r w:rsidRPr="001D4C0C">
        <w:rPr>
          <w:rFonts w:ascii="Arial" w:hAnsi="Arial" w:cs="Arial"/>
          <w:sz w:val="24"/>
          <w:szCs w:val="23"/>
          <w:lang w:val="en-US"/>
        </w:rPr>
        <w:t xml:space="preserve"> Drs. David Saperstein, Janine </w:t>
      </w:r>
      <w:proofErr w:type="spellStart"/>
      <w:r w:rsidRPr="001D4C0C">
        <w:rPr>
          <w:rFonts w:ascii="Arial" w:hAnsi="Arial" w:cs="Arial"/>
          <w:sz w:val="24"/>
          <w:szCs w:val="23"/>
          <w:lang w:val="en-US"/>
        </w:rPr>
        <w:t>Mendola</w:t>
      </w:r>
      <w:proofErr w:type="spellEnd"/>
      <w:r w:rsidRPr="001D4C0C">
        <w:rPr>
          <w:rFonts w:ascii="Arial" w:hAnsi="Arial" w:cs="Arial"/>
          <w:sz w:val="24"/>
          <w:szCs w:val="23"/>
          <w:lang w:val="en-US"/>
        </w:rPr>
        <w:t xml:space="preserve">, </w:t>
      </w:r>
      <w:proofErr w:type="spellStart"/>
      <w:r w:rsidRPr="001D4C0C">
        <w:rPr>
          <w:rFonts w:ascii="Arial" w:hAnsi="Arial" w:cs="Arial"/>
          <w:sz w:val="24"/>
          <w:szCs w:val="23"/>
          <w:lang w:val="en-US"/>
        </w:rPr>
        <w:t>Gislin</w:t>
      </w:r>
      <w:proofErr w:type="spellEnd"/>
      <w:r w:rsidRPr="001D4C0C">
        <w:rPr>
          <w:rFonts w:ascii="Arial" w:hAnsi="Arial" w:cs="Arial"/>
          <w:sz w:val="24"/>
          <w:szCs w:val="23"/>
          <w:lang w:val="en-US"/>
        </w:rPr>
        <w:t xml:space="preserve"> </w:t>
      </w:r>
      <w:proofErr w:type="spellStart"/>
      <w:r w:rsidRPr="001D4C0C">
        <w:rPr>
          <w:rFonts w:ascii="Arial" w:hAnsi="Arial" w:cs="Arial"/>
          <w:sz w:val="24"/>
          <w:szCs w:val="23"/>
          <w:lang w:val="en-US"/>
        </w:rPr>
        <w:t>Dagnelie</w:t>
      </w:r>
      <w:proofErr w:type="spellEnd"/>
      <w:r w:rsidRPr="001D4C0C">
        <w:rPr>
          <w:rFonts w:ascii="Arial" w:hAnsi="Arial" w:cs="Arial"/>
          <w:sz w:val="24"/>
          <w:szCs w:val="23"/>
          <w:lang w:val="en-US"/>
        </w:rPr>
        <w:t xml:space="preserve">, Ava Bittner and Ron </w:t>
      </w:r>
      <w:proofErr w:type="spellStart"/>
      <w:r w:rsidRPr="001D4C0C">
        <w:rPr>
          <w:rFonts w:ascii="Arial" w:hAnsi="Arial" w:cs="Arial"/>
          <w:sz w:val="24"/>
          <w:szCs w:val="23"/>
          <w:lang w:val="en-US"/>
        </w:rPr>
        <w:t>Schuchard</w:t>
      </w:r>
      <w:proofErr w:type="spellEnd"/>
      <w:r w:rsidRPr="001D4C0C">
        <w:rPr>
          <w:rFonts w:ascii="Arial" w:hAnsi="Arial" w:cs="Arial"/>
          <w:sz w:val="24"/>
          <w:szCs w:val="23"/>
          <w:lang w:val="en-US"/>
        </w:rPr>
        <w:t>.</w:t>
      </w:r>
    </w:p>
    <w:sectPr w:rsidR="00526012" w:rsidRPr="00E610CE"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0CE"/>
    <w:rsid w:val="001D4C0C"/>
    <w:rsid w:val="00526012"/>
    <w:rsid w:val="00633897"/>
    <w:rsid w:val="00642A97"/>
    <w:rsid w:val="00B52193"/>
    <w:rsid w:val="00E610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610CE"/>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E610CE"/>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610CE"/>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E610C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552</Words>
  <Characters>3479</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4023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1</cp:revision>
  <dcterms:created xsi:type="dcterms:W3CDTF">2012-06-29T07:45:00Z</dcterms:created>
  <dcterms:modified xsi:type="dcterms:W3CDTF">2012-06-29T08:09:00Z</dcterms:modified>
</cp:coreProperties>
</file>